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A" w:rsidRPr="00AD22DC" w:rsidRDefault="007E302A" w:rsidP="007E302A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65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11: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NGU THUẦN HY</w:t>
      </w:r>
      <w:bookmarkEnd w:id="0"/>
      <w:bookmarkEnd w:id="1"/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7E302A" w:rsidRPr="00C711D2" w:rsidRDefault="007E302A" w:rsidP="007E302A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Thanh</w:t>
      </w:r>
      <w:proofErr w:type="spellEnd"/>
    </w:p>
    <w:p w:rsidR="007E302A" w:rsidRDefault="007E302A" w:rsidP="007E302A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i/>
          <w:iCs/>
          <w:sz w:val="28"/>
          <w:szCs w:val="28"/>
        </w:rPr>
        <w:t>Tâm</w:t>
      </w:r>
      <w:proofErr w:type="spellEnd"/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b/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miệng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ngớt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mi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Trinh,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tang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Thai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. 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Tỷ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Tỷ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, cam </w:t>
      </w:r>
      <w:proofErr w:type="spellStart"/>
      <w:r w:rsidRPr="00AD22DC">
        <w:rPr>
          <w:sz w:val="28"/>
          <w:szCs w:val="28"/>
        </w:rPr>
        <w:t>lộ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ướt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vách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đua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dị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đắc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lưới</w:t>
      </w:r>
      <w:proofErr w:type="spellEnd"/>
      <w:r w:rsidRPr="00AD22DC">
        <w:rPr>
          <w:sz w:val="28"/>
          <w:szCs w:val="28"/>
        </w:rPr>
        <w:t xml:space="preserve"> ma?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Lịch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Minh,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tang cha,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lều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dịp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rảnh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thỏ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hổ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tang,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ty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xin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non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Cao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mốt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vừa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nghỉ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Cao </w:t>
      </w:r>
      <w:proofErr w:type="spellStart"/>
      <w:r w:rsidRPr="00AD22DC">
        <w:rPr>
          <w:sz w:val="28"/>
          <w:szCs w:val="28"/>
        </w:rPr>
        <w:t>Phong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chém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rổng</w:t>
      </w:r>
      <w:proofErr w:type="spellEnd"/>
      <w:r w:rsidRPr="00AD22DC">
        <w:rPr>
          <w:sz w:val="28"/>
          <w:szCs w:val="28"/>
        </w:rPr>
        <w:t xml:space="preserve"> rang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Phàm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uế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trược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Măng</w:t>
      </w:r>
      <w:proofErr w:type="spellEnd"/>
      <w:r w:rsidRPr="00AD22DC">
        <w:rPr>
          <w:sz w:val="28"/>
          <w:szCs w:val="28"/>
        </w:rPr>
        <w:t xml:space="preserve"> non </w:t>
      </w:r>
      <w:proofErr w:type="spellStart"/>
      <w:r w:rsidRPr="00AD22DC">
        <w:rPr>
          <w:sz w:val="28"/>
          <w:szCs w:val="28"/>
        </w:rPr>
        <w:t>dễ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gãy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héo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lo </w:t>
      </w:r>
      <w:proofErr w:type="spellStart"/>
      <w:r w:rsidRPr="00AD22DC">
        <w:rPr>
          <w:sz w:val="28"/>
          <w:szCs w:val="28"/>
        </w:rPr>
        <w:t>liệu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chớ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. 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chăng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Chim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xóm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đậu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chăng</w:t>
      </w:r>
      <w:proofErr w:type="spellEnd"/>
      <w:r w:rsidRPr="00AD22DC">
        <w:rPr>
          <w:sz w:val="28"/>
          <w:szCs w:val="28"/>
        </w:rPr>
        <w:t xml:space="preserve">?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chỗ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!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ân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Bởi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chữ</w:t>
      </w:r>
      <w:proofErr w:type="spellEnd"/>
      <w:r w:rsidRPr="00AD22DC">
        <w:rPr>
          <w:sz w:val="28"/>
          <w:szCs w:val="28"/>
        </w:rPr>
        <w:t xml:space="preserve"> "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".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A Di </w:t>
      </w:r>
      <w:proofErr w:type="spellStart"/>
      <w:r w:rsidRPr="00AD22DC">
        <w:rPr>
          <w:sz w:val="28"/>
          <w:szCs w:val="28"/>
        </w:rPr>
        <w:t>Đà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tri </w:t>
      </w:r>
      <w:proofErr w:type="spellStart"/>
      <w:r w:rsidRPr="00AD22DC">
        <w:rPr>
          <w:sz w:val="28"/>
          <w:szCs w:val="28"/>
        </w:rPr>
        <w:t>kiến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?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? 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khách</w:t>
      </w:r>
      <w:proofErr w:type="spellEnd"/>
      <w:r w:rsidRPr="00AD22DC">
        <w:rPr>
          <w:sz w:val="28"/>
          <w:szCs w:val="28"/>
        </w:rPr>
        <w:t xml:space="preserve"> ty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ngoại</w:t>
      </w:r>
      <w:proofErr w:type="spellEnd"/>
      <w:r w:rsidRPr="00AD22DC">
        <w:rPr>
          <w:sz w:val="28"/>
          <w:szCs w:val="28"/>
        </w:rPr>
        <w:t xml:space="preserve"> lang.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huân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xin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Trinh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dật</w:t>
      </w:r>
      <w:proofErr w:type="spellEnd"/>
      <w:r w:rsidRPr="00AD22DC">
        <w:rPr>
          <w:sz w:val="28"/>
          <w:szCs w:val="28"/>
        </w:rPr>
        <w:t xml:space="preserve"> di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ngao</w:t>
      </w:r>
      <w:proofErr w:type="spellEnd"/>
      <w:r w:rsidRPr="00AD22DC">
        <w:rPr>
          <w:sz w:val="28"/>
          <w:szCs w:val="28"/>
        </w:rPr>
        <w:t xml:space="preserve"> du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thủy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ở Nam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rừng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tham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</w:t>
      </w:r>
      <w:proofErr w:type="spellEnd"/>
      <w:r w:rsidRPr="00AD22DC">
        <w:rPr>
          <w:sz w:val="28"/>
          <w:szCs w:val="28"/>
        </w:rPr>
        <w:t xml:space="preserve">. 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núi</w:t>
      </w:r>
      <w:proofErr w:type="spellEnd"/>
      <w:r w:rsidRPr="00AD22DC">
        <w:rPr>
          <w:sz w:val="28"/>
          <w:szCs w:val="28"/>
        </w:rPr>
        <w:t xml:space="preserve"> Nam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Thuần</w:t>
      </w:r>
      <w:proofErr w:type="spellEnd"/>
      <w:r w:rsidRPr="00AD22DC">
        <w:rPr>
          <w:sz w:val="28"/>
          <w:szCs w:val="28"/>
        </w:rPr>
        <w:t xml:space="preserve"> Trinh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non </w:t>
      </w:r>
      <w:proofErr w:type="spellStart"/>
      <w:r w:rsidRPr="00AD22DC">
        <w:rPr>
          <w:sz w:val="28"/>
          <w:szCs w:val="28"/>
        </w:rPr>
        <w:t>Linh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Thứu</w:t>
      </w:r>
      <w:proofErr w:type="spellEnd"/>
      <w:r w:rsidRPr="00AD22DC">
        <w:rPr>
          <w:sz w:val="28"/>
          <w:szCs w:val="28"/>
        </w:rPr>
        <w:t xml:space="preserve">. Hai </w:t>
      </w:r>
      <w:proofErr w:type="spellStart"/>
      <w:r w:rsidRPr="00AD22DC">
        <w:rPr>
          <w:sz w:val="28"/>
          <w:szCs w:val="28"/>
        </w:rPr>
        <w:t>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khoảng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thừa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</w:p>
    <w:p w:rsidR="007E302A" w:rsidRPr="00AD22DC" w:rsidRDefault="007E302A" w:rsidP="007E302A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7E302A" w:rsidRPr="00AD22DC" w:rsidRDefault="007E302A" w:rsidP="007E302A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ED7A41" w:rsidRPr="00AD22DC" w:rsidRDefault="00ED7A41" w:rsidP="00ED7A41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623580" w:rsidRPr="00AD22DC" w:rsidRDefault="00623580" w:rsidP="0062358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8006C6" w:rsidRDefault="008006C6"/>
    <w:sectPr w:rsidR="008006C6" w:rsidSect="0062358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3927AE"/>
    <w:rsid w:val="00623580"/>
    <w:rsid w:val="007157D4"/>
    <w:rsid w:val="007E302A"/>
    <w:rsid w:val="008006C6"/>
    <w:rsid w:val="00B3416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6</cp:revision>
  <dcterms:created xsi:type="dcterms:W3CDTF">2024-07-22T03:27:00Z</dcterms:created>
  <dcterms:modified xsi:type="dcterms:W3CDTF">2024-07-22T03:41:00Z</dcterms:modified>
</cp:coreProperties>
</file>